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70" w:rsidRPr="00C61595" w:rsidRDefault="00162D70" w:rsidP="00162D70">
      <w:pPr>
        <w:ind w:left="8931"/>
        <w:rPr>
          <w:noProof/>
          <w:szCs w:val="24"/>
          <w:lang w:val="uk-UA"/>
        </w:rPr>
      </w:pPr>
      <w:r w:rsidRPr="00C61595">
        <w:rPr>
          <w:noProof/>
          <w:szCs w:val="24"/>
          <w:lang w:val="uk-UA"/>
        </w:rPr>
        <w:t>Додаток 2</w:t>
      </w:r>
      <w:r w:rsidR="006372BE">
        <w:rPr>
          <w:noProof/>
          <w:szCs w:val="24"/>
          <w:lang w:val="uk-UA"/>
        </w:rPr>
        <w:t xml:space="preserve">                           ПРОЄКТ №</w:t>
      </w:r>
      <w:r w:rsidR="00494CE7">
        <w:rPr>
          <w:noProof/>
          <w:szCs w:val="24"/>
          <w:lang w:val="uk-UA"/>
        </w:rPr>
        <w:t xml:space="preserve"> 12</w:t>
      </w:r>
    </w:p>
    <w:p w:rsidR="00162D70" w:rsidRPr="00C61595" w:rsidRDefault="00162D70" w:rsidP="00162D70">
      <w:pPr>
        <w:ind w:left="8931"/>
        <w:rPr>
          <w:noProof/>
          <w:lang w:val="uk-UA"/>
        </w:rPr>
      </w:pPr>
      <w:r w:rsidRPr="00C61595">
        <w:rPr>
          <w:noProof/>
          <w:szCs w:val="24"/>
          <w:lang w:val="uk-UA"/>
        </w:rPr>
        <w:t xml:space="preserve">до </w:t>
      </w:r>
      <w:r w:rsidRPr="00C61595">
        <w:rPr>
          <w:bCs/>
          <w:iCs/>
          <w:noProof/>
          <w:szCs w:val="24"/>
          <w:lang w:val="uk-UA" w:eastAsia="ru-RU"/>
        </w:rPr>
        <w:t>Програми</w:t>
      </w:r>
      <w:r w:rsidRPr="00C61595">
        <w:rPr>
          <w:noProof/>
          <w:szCs w:val="24"/>
          <w:lang w:val="uk-UA" w:eastAsia="ru-RU"/>
        </w:rPr>
        <w:t> </w:t>
      </w:r>
      <w:r w:rsidRPr="00C61595">
        <w:rPr>
          <w:noProof/>
          <w:szCs w:val="24"/>
          <w:lang w:val="uk-UA"/>
        </w:rPr>
        <w:t>створення, утримання та модернізації територіальної автоматизованої системи централізованого оповіщення цивільного захисту на території</w:t>
      </w:r>
      <w:r w:rsidRPr="00C61595">
        <w:rPr>
          <w:noProof/>
          <w:szCs w:val="24"/>
          <w:lang w:val="uk-UA" w:eastAsia="ru-RU"/>
        </w:rPr>
        <w:t> </w:t>
      </w:r>
      <w:r w:rsidRPr="00C61595">
        <w:rPr>
          <w:noProof/>
          <w:szCs w:val="24"/>
          <w:lang w:val="uk-UA"/>
        </w:rPr>
        <w:t>Новгород-Сіверської міської територіальної громади на</w:t>
      </w:r>
      <w:r w:rsidRPr="00C61595">
        <w:rPr>
          <w:b/>
          <w:noProof/>
          <w:szCs w:val="24"/>
          <w:lang w:val="uk-UA"/>
        </w:rPr>
        <w:t xml:space="preserve"> </w:t>
      </w:r>
      <w:r w:rsidRPr="00C61595">
        <w:rPr>
          <w:noProof/>
          <w:szCs w:val="24"/>
          <w:lang w:val="uk-UA"/>
        </w:rPr>
        <w:t>2026-</w:t>
      </w:r>
      <w:r w:rsidR="00244866">
        <w:rPr>
          <w:noProof/>
          <w:szCs w:val="24"/>
          <w:lang w:val="uk-UA"/>
        </w:rPr>
        <w:t xml:space="preserve">        </w:t>
      </w:r>
      <w:r w:rsidRPr="00C61595">
        <w:rPr>
          <w:noProof/>
          <w:szCs w:val="24"/>
          <w:lang w:val="uk-UA"/>
        </w:rPr>
        <w:t>2030 роки</w:t>
      </w:r>
    </w:p>
    <w:p w:rsidR="00162D70" w:rsidRDefault="00162D70" w:rsidP="00162D70">
      <w:pPr>
        <w:ind w:left="8931"/>
        <w:rPr>
          <w:noProof/>
          <w:lang w:val="uk-UA"/>
        </w:rPr>
      </w:pPr>
      <w:r w:rsidRPr="00C61595">
        <w:rPr>
          <w:noProof/>
          <w:lang w:val="uk-UA"/>
        </w:rPr>
        <w:t>(розділ 5)</w:t>
      </w:r>
    </w:p>
    <w:p w:rsidR="00EC44B2" w:rsidRDefault="00162D70" w:rsidP="00162D70">
      <w:pPr>
        <w:tabs>
          <w:tab w:val="right" w:pos="0"/>
        </w:tabs>
        <w:ind w:left="8931"/>
        <w:rPr>
          <w:szCs w:val="24"/>
          <w:lang w:val="uk-UA"/>
        </w:rPr>
      </w:pPr>
      <w:r w:rsidRPr="00C774A0">
        <w:rPr>
          <w:szCs w:val="24"/>
          <w:lang w:val="uk-UA"/>
        </w:rPr>
        <w:t xml:space="preserve">(в редакції рішення </w:t>
      </w:r>
      <w:r>
        <w:rPr>
          <w:szCs w:val="24"/>
          <w:lang w:val="uk-UA"/>
        </w:rPr>
        <w:t xml:space="preserve">64-ої </w:t>
      </w:r>
      <w:r w:rsidR="00EC44B2">
        <w:rPr>
          <w:szCs w:val="24"/>
          <w:lang w:val="uk-UA"/>
        </w:rPr>
        <w:t xml:space="preserve">позачергової </w:t>
      </w:r>
      <w:r w:rsidRPr="00C774A0">
        <w:rPr>
          <w:szCs w:val="24"/>
          <w:lang w:val="uk-UA"/>
        </w:rPr>
        <w:t xml:space="preserve">сесії </w:t>
      </w:r>
    </w:p>
    <w:p w:rsidR="00162D70" w:rsidRPr="00C774A0" w:rsidRDefault="00162D70" w:rsidP="00EC44B2">
      <w:pPr>
        <w:tabs>
          <w:tab w:val="right" w:pos="0"/>
        </w:tabs>
        <w:ind w:left="8931"/>
        <w:rPr>
          <w:szCs w:val="24"/>
          <w:lang w:val="uk-UA"/>
        </w:rPr>
      </w:pPr>
      <w:r w:rsidRPr="00C774A0">
        <w:rPr>
          <w:szCs w:val="24"/>
          <w:lang w:val="uk-UA"/>
        </w:rPr>
        <w:t>Новгород-Сіверської міської ради VIII скликання</w:t>
      </w:r>
    </w:p>
    <w:p w:rsidR="00162D70" w:rsidRDefault="00162D70" w:rsidP="00162D70">
      <w:pPr>
        <w:tabs>
          <w:tab w:val="right" w:pos="0"/>
        </w:tabs>
        <w:ind w:left="8931"/>
        <w:rPr>
          <w:szCs w:val="24"/>
          <w:lang w:val="uk-UA"/>
        </w:rPr>
      </w:pPr>
      <w:r w:rsidRPr="00C774A0">
        <w:rPr>
          <w:szCs w:val="24"/>
          <w:lang w:val="uk-UA"/>
        </w:rPr>
        <w:t xml:space="preserve">від </w:t>
      </w:r>
      <w:r>
        <w:rPr>
          <w:szCs w:val="24"/>
          <w:lang w:val="uk-UA"/>
        </w:rPr>
        <w:t xml:space="preserve"> </w:t>
      </w:r>
      <w:r w:rsidRPr="00C774A0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лютого</w:t>
      </w:r>
      <w:r w:rsidRPr="00C774A0">
        <w:rPr>
          <w:szCs w:val="24"/>
          <w:lang w:val="uk-UA"/>
        </w:rPr>
        <w:t xml:space="preserve"> 202</w:t>
      </w:r>
      <w:r>
        <w:rPr>
          <w:szCs w:val="24"/>
          <w:lang w:val="uk-UA"/>
        </w:rPr>
        <w:t xml:space="preserve">6 року № </w:t>
      </w:r>
      <w:r w:rsidRPr="00C774A0">
        <w:rPr>
          <w:szCs w:val="24"/>
          <w:lang w:val="uk-UA"/>
        </w:rPr>
        <w:t>)</w:t>
      </w:r>
    </w:p>
    <w:p w:rsidR="00162D70" w:rsidRPr="00162D70" w:rsidRDefault="00162D70" w:rsidP="00162D70">
      <w:pPr>
        <w:tabs>
          <w:tab w:val="right" w:pos="0"/>
        </w:tabs>
        <w:rPr>
          <w:noProof/>
          <w:sz w:val="20"/>
          <w:lang w:val="uk-UA"/>
        </w:rPr>
      </w:pPr>
    </w:p>
    <w:p w:rsidR="00162D70" w:rsidRPr="00C61595" w:rsidRDefault="00162D70" w:rsidP="00162D70">
      <w:pPr>
        <w:tabs>
          <w:tab w:val="right" w:pos="0"/>
        </w:tabs>
        <w:jc w:val="center"/>
        <w:rPr>
          <w:noProof/>
          <w:sz w:val="28"/>
          <w:szCs w:val="28"/>
          <w:lang w:val="uk-UA"/>
        </w:rPr>
      </w:pPr>
      <w:r w:rsidRPr="00C61595">
        <w:rPr>
          <w:b/>
          <w:noProof/>
          <w:sz w:val="28"/>
          <w:szCs w:val="28"/>
          <w:lang w:val="uk-UA"/>
        </w:rPr>
        <w:t>Показники результативності Програми</w:t>
      </w:r>
    </w:p>
    <w:p w:rsidR="00162D70" w:rsidRPr="00162D70" w:rsidRDefault="00162D70" w:rsidP="00162D70">
      <w:pPr>
        <w:tabs>
          <w:tab w:val="right" w:pos="0"/>
        </w:tabs>
        <w:rPr>
          <w:noProof/>
          <w:sz w:val="20"/>
          <w:lang w:val="uk-UA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4820"/>
        <w:gridCol w:w="1134"/>
        <w:gridCol w:w="2410"/>
        <w:gridCol w:w="1134"/>
        <w:gridCol w:w="1134"/>
        <w:gridCol w:w="1134"/>
        <w:gridCol w:w="1134"/>
        <w:gridCol w:w="1134"/>
      </w:tblGrid>
      <w:tr w:rsidR="00162D70" w:rsidRPr="00C61595" w:rsidTr="00AE35FB">
        <w:trPr>
          <w:trHeight w:val="7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№</w:t>
            </w:r>
          </w:p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з/п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Одиниця виміру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2029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2030 рік</w:t>
            </w:r>
          </w:p>
        </w:tc>
      </w:tr>
      <w:tr w:rsidR="00162D70" w:rsidRPr="00C61595" w:rsidTr="00AE35FB">
        <w:trPr>
          <w:trHeight w:hRule="exact" w:val="2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5</w:t>
            </w:r>
          </w:p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9</w:t>
            </w:r>
          </w:p>
        </w:tc>
      </w:tr>
      <w:tr w:rsidR="00162D70" w:rsidRPr="00C61595" w:rsidTr="00AE35FB">
        <w:trPr>
          <w:trHeight w:hRule="exact" w:val="325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ind w:left="142"/>
              <w:jc w:val="center"/>
              <w:rPr>
                <w:rStyle w:val="211pt"/>
                <w:rFonts w:eastAsia="Calibri"/>
                <w:b/>
                <w:noProof/>
                <w:color w:val="auto"/>
              </w:rPr>
            </w:pPr>
            <w:r w:rsidRPr="00C61595">
              <w:rPr>
                <w:rStyle w:val="211pt"/>
                <w:rFonts w:eastAsia="Calibri"/>
                <w:b/>
                <w:noProof/>
                <w:color w:val="auto"/>
              </w:rPr>
              <w:t>І. Показники затрат</w:t>
            </w:r>
          </w:p>
          <w:p w:rsidR="00162D70" w:rsidRPr="00C61595" w:rsidRDefault="00162D70" w:rsidP="00AE35FB">
            <w:pPr>
              <w:pStyle w:val="ae"/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</w:tr>
      <w:tr w:rsidR="00162D70" w:rsidRPr="00C61595" w:rsidTr="00AE35FB">
        <w:trPr>
          <w:trHeight w:hRule="exact" w:val="8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left="140" w:right="91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Обсяг видатків на створення, утримання та модернізацію місцевої автоматизованої системи централізованого оповіщення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Плановий показник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left="-33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59</w:t>
            </w:r>
            <w:r w:rsidRPr="00C61595">
              <w:rPr>
                <w:noProof/>
                <w:szCs w:val="24"/>
                <w:lang w:val="uk-UA"/>
              </w:rPr>
              <w:t>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470000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500000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530000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left="-108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560000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</w:tr>
      <w:tr w:rsidR="00162D70" w:rsidRPr="00C61595" w:rsidTr="00AE35FB">
        <w:trPr>
          <w:trHeight w:hRule="exact" w:val="293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lang w:val="uk-UA"/>
              </w:rPr>
            </w:pPr>
            <w:r w:rsidRPr="00C61595">
              <w:rPr>
                <w:rStyle w:val="211pt"/>
                <w:rFonts w:eastAsia="Calibri"/>
                <w:b/>
                <w:noProof/>
                <w:color w:val="auto"/>
                <w:sz w:val="24"/>
                <w:szCs w:val="24"/>
              </w:rPr>
              <w:t>II. Показники продукту</w:t>
            </w:r>
          </w:p>
        </w:tc>
      </w:tr>
      <w:tr w:rsidR="00162D70" w:rsidRPr="00C61595" w:rsidTr="00AE35FB">
        <w:trPr>
          <w:trHeight w:hRule="exact" w:val="8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left="140" w:right="91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Кількість систем централізованого оповіщення, що створено, утримується та модернізується у громаді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</w:p>
        </w:tc>
      </w:tr>
      <w:tr w:rsidR="00162D70" w:rsidRPr="00C61595" w:rsidTr="00AE35FB">
        <w:trPr>
          <w:trHeight w:hRule="exact" w:val="288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lang w:val="uk-UA"/>
              </w:rPr>
            </w:pPr>
            <w:r w:rsidRPr="00C61595">
              <w:rPr>
                <w:rStyle w:val="211pt"/>
                <w:rFonts w:eastAsia="Calibri"/>
                <w:b/>
                <w:noProof/>
                <w:color w:val="auto"/>
                <w:sz w:val="24"/>
                <w:szCs w:val="24"/>
              </w:rPr>
              <w:t>III. Показники ефективності</w:t>
            </w:r>
          </w:p>
        </w:tc>
      </w:tr>
      <w:tr w:rsidR="00162D70" w:rsidRPr="00C61595" w:rsidTr="00AE35FB">
        <w:trPr>
          <w:trHeight w:hRule="exact" w:val="8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lang w:val="uk-UA" w:eastAsia="ru-RU"/>
              </w:rPr>
            </w:pPr>
            <w:r w:rsidRPr="00C61595">
              <w:rPr>
                <w:rStyle w:val="295pt"/>
                <w:rFonts w:eastAsia="Calibri"/>
                <w:b w:val="0"/>
                <w:noProof/>
                <w:color w:val="auto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left="140" w:right="91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Середні витрати на створення, утримання та модернізацію місцевої автоматизованої системи централізованого оповіщення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Математичний розрахунок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  <w:r>
              <w:rPr>
                <w:noProof/>
                <w:szCs w:val="24"/>
                <w:lang w:val="uk-UA"/>
              </w:rPr>
              <w:t>95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235000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250000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265000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280000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</w:tr>
      <w:tr w:rsidR="00162D70" w:rsidRPr="00C61595" w:rsidTr="00AE35FB">
        <w:trPr>
          <w:trHeight w:hRule="exact" w:val="287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lang w:val="uk-UA"/>
              </w:rPr>
            </w:pPr>
            <w:r w:rsidRPr="00C61595">
              <w:rPr>
                <w:rStyle w:val="211pt"/>
                <w:rFonts w:eastAsia="Calibri"/>
                <w:b/>
                <w:noProof/>
                <w:color w:val="auto"/>
                <w:sz w:val="24"/>
                <w:szCs w:val="24"/>
              </w:rPr>
              <w:t>IV. Показники якості</w:t>
            </w:r>
          </w:p>
        </w:tc>
      </w:tr>
      <w:tr w:rsidR="00162D70" w:rsidRPr="00C61595" w:rsidTr="00AE35FB">
        <w:trPr>
          <w:trHeight w:hRule="exact" w:val="7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left="140" w:right="91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Рівень виконання завдання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Математичний розрахунок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100</w:t>
            </w:r>
          </w:p>
        </w:tc>
      </w:tr>
    </w:tbl>
    <w:p w:rsidR="0089750E" w:rsidRDefault="0089750E">
      <w:pPr>
        <w:rPr>
          <w:sz w:val="20"/>
          <w:lang w:val="uk-UA"/>
        </w:rPr>
      </w:pPr>
    </w:p>
    <w:p w:rsidR="00162D70" w:rsidRPr="00162D70" w:rsidRDefault="00162D70">
      <w:pPr>
        <w:rPr>
          <w:sz w:val="20"/>
          <w:lang w:val="uk-UA"/>
        </w:rPr>
      </w:pPr>
    </w:p>
    <w:p w:rsidR="00162D70" w:rsidRPr="00162D70" w:rsidRDefault="00162D70">
      <w:pPr>
        <w:rPr>
          <w:sz w:val="28"/>
          <w:szCs w:val="28"/>
          <w:lang w:val="uk-UA"/>
        </w:rPr>
      </w:pPr>
      <w:r w:rsidRPr="00162D70">
        <w:rPr>
          <w:sz w:val="28"/>
          <w:szCs w:val="28"/>
          <w:lang w:val="uk-UA"/>
        </w:rPr>
        <w:t>Секретар міської ради</w:t>
      </w:r>
      <w:r w:rsidRPr="00162D70">
        <w:rPr>
          <w:sz w:val="28"/>
          <w:szCs w:val="28"/>
          <w:lang w:val="uk-UA"/>
        </w:rPr>
        <w:tab/>
      </w:r>
      <w:r w:rsidRPr="00162D70">
        <w:rPr>
          <w:sz w:val="28"/>
          <w:szCs w:val="28"/>
          <w:lang w:val="uk-UA"/>
        </w:rPr>
        <w:tab/>
      </w:r>
      <w:r w:rsidRPr="00162D70">
        <w:rPr>
          <w:sz w:val="28"/>
          <w:szCs w:val="28"/>
          <w:lang w:val="uk-UA"/>
        </w:rPr>
        <w:tab/>
      </w:r>
      <w:r w:rsidRPr="00162D70">
        <w:rPr>
          <w:sz w:val="28"/>
          <w:szCs w:val="28"/>
          <w:lang w:val="uk-UA"/>
        </w:rPr>
        <w:tab/>
      </w:r>
      <w:r w:rsidRPr="00162D70">
        <w:rPr>
          <w:sz w:val="28"/>
          <w:szCs w:val="28"/>
          <w:lang w:val="uk-UA"/>
        </w:rPr>
        <w:tab/>
      </w:r>
      <w:r w:rsidRPr="00162D70">
        <w:rPr>
          <w:sz w:val="28"/>
          <w:szCs w:val="28"/>
          <w:lang w:val="uk-UA"/>
        </w:rPr>
        <w:tab/>
      </w:r>
      <w:r w:rsidR="006372BE">
        <w:rPr>
          <w:sz w:val="28"/>
          <w:szCs w:val="28"/>
          <w:lang w:val="uk-UA"/>
        </w:rPr>
        <w:t xml:space="preserve">               </w:t>
      </w:r>
      <w:r w:rsidRPr="00162D70">
        <w:rPr>
          <w:sz w:val="28"/>
          <w:szCs w:val="28"/>
          <w:lang w:val="uk-UA"/>
        </w:rPr>
        <w:t>Юрій ЛАКОЗА</w:t>
      </w:r>
    </w:p>
    <w:sectPr w:rsidR="00162D70" w:rsidRPr="00162D70" w:rsidSect="00162D70">
      <w:headerReference w:type="default" r:id="rId6"/>
      <w:pgSz w:w="16838" w:h="11906" w:orient="landscape"/>
      <w:pgMar w:top="1276" w:right="850" w:bottom="850" w:left="850" w:header="85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77F" w:rsidRDefault="00DB777F" w:rsidP="00162D70">
      <w:r>
        <w:separator/>
      </w:r>
    </w:p>
  </w:endnote>
  <w:endnote w:type="continuationSeparator" w:id="0">
    <w:p w:rsidR="00DB777F" w:rsidRDefault="00DB777F" w:rsidP="0016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77F" w:rsidRDefault="00DB777F" w:rsidP="00162D70">
      <w:r>
        <w:separator/>
      </w:r>
    </w:p>
  </w:footnote>
  <w:footnote w:type="continuationSeparator" w:id="0">
    <w:p w:rsidR="00DB777F" w:rsidRDefault="00DB777F" w:rsidP="00162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70" w:rsidRPr="00162D70" w:rsidRDefault="004A39B5" w:rsidP="00162D70">
    <w:pPr>
      <w:pStyle w:val="ac"/>
      <w:jc w:val="center"/>
      <w:rPr>
        <w:lang w:val="uk-UA"/>
      </w:rPr>
    </w:pPr>
    <w:r>
      <w:fldChar w:fldCharType="begin"/>
    </w:r>
    <w:r w:rsidR="00162D70">
      <w:instrText>PAGE   \* MERGEFORMAT</w:instrText>
    </w:r>
    <w:r>
      <w:fldChar w:fldCharType="separate"/>
    </w:r>
    <w:r w:rsidR="00162D70" w:rsidRPr="00360C65">
      <w:rPr>
        <w:noProof/>
        <w:lang w:val="uk-UA"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D70"/>
    <w:rsid w:val="000873F3"/>
    <w:rsid w:val="00162D70"/>
    <w:rsid w:val="00217A66"/>
    <w:rsid w:val="00244866"/>
    <w:rsid w:val="002C695D"/>
    <w:rsid w:val="00494CE7"/>
    <w:rsid w:val="004A39B5"/>
    <w:rsid w:val="006372BE"/>
    <w:rsid w:val="006B31AB"/>
    <w:rsid w:val="00721056"/>
    <w:rsid w:val="007264F9"/>
    <w:rsid w:val="0089750E"/>
    <w:rsid w:val="00B7656C"/>
    <w:rsid w:val="00DB777F"/>
    <w:rsid w:val="00EC44B2"/>
    <w:rsid w:val="00FA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D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"/>
    <w:qFormat/>
    <w:rsid w:val="00162D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D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D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D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D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D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D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D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D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2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2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2D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2D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2D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2D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2D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2D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2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16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D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162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2D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162D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2D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162D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2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62D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2D7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162D70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2D70"/>
    <w:rPr>
      <w:rFonts w:ascii="Times New Roman" w:eastAsia="Times New Roman" w:hAnsi="Times New Roman" w:cs="Times New Roman"/>
      <w:kern w:val="0"/>
      <w:sz w:val="24"/>
      <w:szCs w:val="20"/>
      <w:lang w:val="ru-RU"/>
    </w:rPr>
  </w:style>
  <w:style w:type="character" w:customStyle="1" w:styleId="295pt">
    <w:name w:val="Основной текст (2) + 9.5 pt.Полужирный"/>
    <w:rsid w:val="00162D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162D7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e">
    <w:name w:val="No Spacing"/>
    <w:uiPriority w:val="1"/>
    <w:qFormat/>
    <w:rsid w:val="00162D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  <w:style w:type="paragraph" w:styleId="af">
    <w:name w:val="footer"/>
    <w:basedOn w:val="a"/>
    <w:link w:val="af0"/>
    <w:uiPriority w:val="99"/>
    <w:unhideWhenUsed/>
    <w:rsid w:val="00162D7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62D70"/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842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5</cp:revision>
  <dcterms:created xsi:type="dcterms:W3CDTF">2026-02-02T09:56:00Z</dcterms:created>
  <dcterms:modified xsi:type="dcterms:W3CDTF">2026-02-10T08:51:00Z</dcterms:modified>
</cp:coreProperties>
</file>